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2CBDE" w14:textId="0A51A0A4" w:rsidR="00F07396" w:rsidRPr="000366BE" w:rsidRDefault="00F07396">
      <w:pPr>
        <w:rPr>
          <w:rFonts w:ascii="Century Gothic" w:hAnsi="Century Gothic"/>
          <w:sz w:val="24"/>
          <w:szCs w:val="24"/>
        </w:rPr>
      </w:pPr>
      <w:r w:rsidRPr="000366BE">
        <w:rPr>
          <w:rFonts w:ascii="Century Gothic" w:hAnsi="Century Gothic"/>
          <w:sz w:val="24"/>
          <w:szCs w:val="24"/>
        </w:rPr>
        <w:t>SECTORIZACIÓN</w:t>
      </w:r>
    </w:p>
    <w:p w14:paraId="10CE5BA3" w14:textId="463F27BD" w:rsidR="009E63E7" w:rsidRPr="000366BE" w:rsidRDefault="00F07396" w:rsidP="00F07396">
      <w:pPr>
        <w:jc w:val="both"/>
        <w:rPr>
          <w:rFonts w:ascii="Century Gothic" w:hAnsi="Century Gothic"/>
          <w:sz w:val="24"/>
          <w:szCs w:val="24"/>
        </w:rPr>
      </w:pPr>
      <w:r w:rsidRPr="000366BE">
        <w:rPr>
          <w:rFonts w:ascii="Century Gothic" w:hAnsi="Century Gothic"/>
          <w:sz w:val="24"/>
          <w:szCs w:val="24"/>
        </w:rPr>
        <w:t xml:space="preserve">Los procesos de sectorización en UMI FLUX los realizamos partiendo de la premisa que todo proceso de mejora de servicio deberá ser rentable. Consideramos que como beneficio directo que la población logre tener satisfechas sus necesidades de agua, y que como consecuencia </w:t>
      </w:r>
      <w:r w:rsidR="000366BE" w:rsidRPr="000366BE">
        <w:rPr>
          <w:rFonts w:ascii="Century Gothic" w:hAnsi="Century Gothic"/>
          <w:sz w:val="24"/>
          <w:szCs w:val="24"/>
        </w:rPr>
        <w:t xml:space="preserve">tenga disposición de </w:t>
      </w:r>
      <w:r w:rsidRPr="000366BE">
        <w:rPr>
          <w:rFonts w:ascii="Century Gothic" w:hAnsi="Century Gothic"/>
          <w:sz w:val="24"/>
          <w:szCs w:val="24"/>
        </w:rPr>
        <w:t>pagar por el servicio el precio justo. Partimos del análisis de pérdidas aparentes, identificando su origen e impacto en el incremento de eficiencia. El diseño de estrategias de recuperación de pérdidas considera atacar aquellos rubros donde se logrará el mayor beneficio, dejando para el final las pérdidas identificadas con menor impacto y mayor costo. Nuestro esquema de trabajo representa incrementos de eficiencia garantizados en hasta 10 puntos porcentuales.</w:t>
      </w:r>
    </w:p>
    <w:p w14:paraId="41619322" w14:textId="340B4D7D" w:rsidR="00F07396" w:rsidRPr="000366BE" w:rsidRDefault="00F07396" w:rsidP="00F07396">
      <w:pPr>
        <w:pStyle w:val="Ttulo1"/>
        <w:tabs>
          <w:tab w:val="left" w:pos="663"/>
        </w:tabs>
        <w:spacing w:before="1"/>
        <w:jc w:val="both"/>
        <w:rPr>
          <w:rFonts w:ascii="Century Gothic" w:hAnsi="Century Gothic"/>
          <w:sz w:val="24"/>
          <w:szCs w:val="24"/>
        </w:rPr>
      </w:pPr>
      <w:r w:rsidRPr="000366BE">
        <w:rPr>
          <w:rFonts w:ascii="Century Gothic" w:hAnsi="Century Gothic"/>
          <w:sz w:val="24"/>
          <w:szCs w:val="24"/>
        </w:rPr>
        <w:t>Demanda</w:t>
      </w:r>
      <w:r w:rsidRPr="000366BE">
        <w:rPr>
          <w:rFonts w:ascii="Century Gothic" w:hAnsi="Century Gothic"/>
          <w:spacing w:val="-1"/>
          <w:sz w:val="24"/>
          <w:szCs w:val="24"/>
        </w:rPr>
        <w:t xml:space="preserve"> </w:t>
      </w:r>
      <w:r w:rsidRPr="000366BE">
        <w:rPr>
          <w:rFonts w:ascii="Century Gothic" w:hAnsi="Century Gothic"/>
          <w:sz w:val="24"/>
          <w:szCs w:val="24"/>
        </w:rPr>
        <w:t>base</w:t>
      </w:r>
    </w:p>
    <w:p w14:paraId="2157469C" w14:textId="4E4F69BA" w:rsidR="000366BE" w:rsidRPr="000366BE" w:rsidRDefault="00F07396" w:rsidP="000366BE">
      <w:pPr>
        <w:pStyle w:val="Textoindependiente"/>
        <w:spacing w:before="100" w:line="276" w:lineRule="auto"/>
        <w:ind w:right="218"/>
        <w:rPr>
          <w:rFonts w:ascii="Century Gothic" w:hAnsi="Century Gothic"/>
          <w:sz w:val="24"/>
          <w:szCs w:val="24"/>
        </w:rPr>
      </w:pPr>
      <w:r w:rsidRPr="000366BE">
        <w:rPr>
          <w:rFonts w:ascii="Century Gothic" w:hAnsi="Century Gothic"/>
          <w:sz w:val="24"/>
          <w:szCs w:val="24"/>
        </w:rPr>
        <w:t xml:space="preserve">Para determinar la demanda base UMI FLUX emplea </w:t>
      </w:r>
      <w:r w:rsidRPr="000366BE">
        <w:rPr>
          <w:rFonts w:ascii="Century Gothic" w:hAnsi="Century Gothic"/>
          <w:sz w:val="24"/>
          <w:szCs w:val="24"/>
        </w:rPr>
        <w:t>la información de consumos propiedad de</w:t>
      </w:r>
      <w:r w:rsidRPr="000366BE">
        <w:rPr>
          <w:rFonts w:ascii="Century Gothic" w:hAnsi="Century Gothic"/>
          <w:sz w:val="24"/>
          <w:szCs w:val="24"/>
        </w:rPr>
        <w:t>l organismo operador</w:t>
      </w:r>
      <w:r w:rsidR="000366BE">
        <w:rPr>
          <w:rFonts w:ascii="Century Gothic" w:hAnsi="Century Gothic"/>
          <w:sz w:val="24"/>
          <w:szCs w:val="24"/>
        </w:rPr>
        <w:t>,</w:t>
      </w:r>
      <w:r w:rsidRPr="000366BE">
        <w:rPr>
          <w:rFonts w:ascii="Century Gothic" w:hAnsi="Century Gothic"/>
          <w:sz w:val="24"/>
          <w:szCs w:val="24"/>
        </w:rPr>
        <w:t xml:space="preserve"> </w:t>
      </w:r>
      <w:r w:rsidRPr="000366BE">
        <w:rPr>
          <w:rFonts w:ascii="Century Gothic" w:hAnsi="Century Gothic" w:cs="Arial"/>
          <w:sz w:val="24"/>
          <w:szCs w:val="24"/>
        </w:rPr>
        <w:t>con base en los histogramas, de preferencia de un año</w:t>
      </w:r>
      <w:r w:rsidRPr="000366BE">
        <w:rPr>
          <w:rFonts w:ascii="Century Gothic" w:hAnsi="Century Gothic" w:cs="Arial"/>
          <w:sz w:val="24"/>
          <w:szCs w:val="24"/>
        </w:rPr>
        <w:t xml:space="preserve">. </w:t>
      </w:r>
      <w:r w:rsidR="000366BE" w:rsidRPr="000366BE">
        <w:rPr>
          <w:rFonts w:ascii="Century Gothic" w:hAnsi="Century Gothic"/>
          <w:sz w:val="24"/>
          <w:szCs w:val="24"/>
        </w:rPr>
        <w:t>El consumo de agua se determina de acuerdo con el tipo de usuarios, se divide según su uso en: doméstico y no-doméstico; el consumo doméstico, se subdivide según la clase socioeconómica de la población en residencial, medio y popular. El consumo no doméstico incluye el comercial, industrial, turístico y de servicios públicos.</w:t>
      </w:r>
    </w:p>
    <w:p w14:paraId="29902F83" w14:textId="0B840092" w:rsidR="000366BE" w:rsidRPr="000366BE" w:rsidRDefault="000366BE" w:rsidP="000366BE">
      <w:pPr>
        <w:pStyle w:val="Textoindependiente"/>
        <w:spacing w:before="100" w:line="276" w:lineRule="auto"/>
        <w:ind w:right="218"/>
        <w:rPr>
          <w:rFonts w:ascii="Century Gothic" w:hAnsi="Century Gothic"/>
          <w:sz w:val="24"/>
          <w:szCs w:val="24"/>
        </w:rPr>
      </w:pPr>
      <w:r w:rsidRPr="000366BE">
        <w:rPr>
          <w:rFonts w:ascii="Century Gothic" w:hAnsi="Century Gothic"/>
          <w:sz w:val="24"/>
          <w:szCs w:val="24"/>
        </w:rPr>
        <w:t>El consumo promedio determinado para cada tipo de usuario se multiplicará por la población actual de cada sector, por las unidades comerciales, industriales y de servicios públicos existentes, para calcular el volumen consumido correspondiente a cada tipo de usuario y por cada sector de distribución de agua potable</w:t>
      </w:r>
      <w:r>
        <w:rPr>
          <w:rFonts w:ascii="Century Gothic" w:hAnsi="Century Gothic"/>
          <w:sz w:val="24"/>
          <w:szCs w:val="24"/>
        </w:rPr>
        <w:t xml:space="preserve">. </w:t>
      </w:r>
      <w:r w:rsidRPr="000366BE">
        <w:rPr>
          <w:rFonts w:ascii="Century Gothic" w:hAnsi="Century Gothic"/>
          <w:sz w:val="24"/>
          <w:szCs w:val="24"/>
        </w:rPr>
        <w:t>Con la información de consumos se realizará un análisis de la demanda</w:t>
      </w:r>
      <w:r>
        <w:rPr>
          <w:rFonts w:ascii="Century Gothic" w:hAnsi="Century Gothic"/>
          <w:sz w:val="24"/>
          <w:szCs w:val="24"/>
        </w:rPr>
        <w:t xml:space="preserve"> base</w:t>
      </w:r>
      <w:r w:rsidRPr="000366BE">
        <w:rPr>
          <w:rFonts w:ascii="Century Gothic" w:hAnsi="Century Gothic"/>
          <w:sz w:val="24"/>
          <w:szCs w:val="24"/>
        </w:rPr>
        <w:t xml:space="preserve"> de agua potable para las zonas de cobertura definidas por UMI FLUX.</w:t>
      </w:r>
    </w:p>
    <w:p w14:paraId="511F9645" w14:textId="77777777" w:rsidR="000366BE" w:rsidRDefault="000366BE" w:rsidP="000366BE">
      <w:pPr>
        <w:pStyle w:val="Textoindependiente"/>
        <w:spacing w:before="100" w:line="276" w:lineRule="auto"/>
        <w:ind w:right="218"/>
        <w:rPr>
          <w:rFonts w:ascii="Century Gothic" w:hAnsi="Century Gothic"/>
          <w:sz w:val="24"/>
          <w:szCs w:val="24"/>
        </w:rPr>
      </w:pPr>
      <w:r w:rsidRPr="000366BE">
        <w:rPr>
          <w:rFonts w:ascii="Century Gothic" w:hAnsi="Century Gothic"/>
          <w:sz w:val="24"/>
          <w:szCs w:val="24"/>
        </w:rPr>
        <w:t>La demanda total actual corresponderá a la suma de todos los consumos calculados más el volumen de pérdidas físicas. Para estimar las pérdidas físicas se considerarán los datos de</w:t>
      </w:r>
      <w:r>
        <w:rPr>
          <w:rFonts w:ascii="Century Gothic" w:hAnsi="Century Gothic"/>
          <w:sz w:val="24"/>
          <w:szCs w:val="24"/>
        </w:rPr>
        <w:t xml:space="preserve"> producción de agua potable </w:t>
      </w:r>
      <w:r w:rsidRPr="000366BE">
        <w:rPr>
          <w:rFonts w:ascii="Century Gothic" w:hAnsi="Century Gothic"/>
          <w:sz w:val="24"/>
          <w:szCs w:val="24"/>
        </w:rPr>
        <w:t>y se determinará como la diferencia entre los volúmenes</w:t>
      </w:r>
      <w:r>
        <w:rPr>
          <w:rFonts w:ascii="Century Gothic" w:hAnsi="Century Gothic"/>
          <w:sz w:val="24"/>
          <w:szCs w:val="24"/>
        </w:rPr>
        <w:t xml:space="preserve"> </w:t>
      </w:r>
      <w:r w:rsidRPr="000366BE">
        <w:rPr>
          <w:rFonts w:ascii="Century Gothic" w:hAnsi="Century Gothic"/>
          <w:sz w:val="24"/>
          <w:szCs w:val="24"/>
        </w:rPr>
        <w:t xml:space="preserve">producidos y los de consumos. </w:t>
      </w:r>
    </w:p>
    <w:p w14:paraId="77E51EB9" w14:textId="5DA160A0" w:rsidR="000366BE" w:rsidRDefault="000366BE" w:rsidP="000366BE">
      <w:pPr>
        <w:pStyle w:val="Textoindependiente"/>
        <w:spacing w:before="100" w:line="276" w:lineRule="auto"/>
        <w:ind w:right="218"/>
        <w:rPr>
          <w:rFonts w:ascii="Century Gothic" w:hAnsi="Century Gothic"/>
          <w:sz w:val="24"/>
          <w:szCs w:val="24"/>
        </w:rPr>
      </w:pPr>
      <w:r w:rsidRPr="000366BE">
        <w:rPr>
          <w:rFonts w:ascii="Century Gothic" w:hAnsi="Century Gothic"/>
          <w:sz w:val="24"/>
          <w:szCs w:val="24"/>
        </w:rPr>
        <w:t>Se toma en cuenta las proyecciones de mejora de eficiencia del programa de sectorización</w:t>
      </w:r>
      <w:r>
        <w:rPr>
          <w:rFonts w:ascii="Century Gothic" w:hAnsi="Century Gothic"/>
          <w:sz w:val="24"/>
          <w:szCs w:val="24"/>
        </w:rPr>
        <w:t xml:space="preserve"> desarrollado por UMI FLUX</w:t>
      </w:r>
      <w:r w:rsidRPr="000366BE">
        <w:rPr>
          <w:rFonts w:ascii="Century Gothic" w:hAnsi="Century Gothic"/>
          <w:sz w:val="24"/>
          <w:szCs w:val="24"/>
        </w:rPr>
        <w:t>, mejora de eficiencia y control de presiones a cargo de</w:t>
      </w:r>
      <w:r>
        <w:rPr>
          <w:rFonts w:ascii="Century Gothic" w:hAnsi="Century Gothic"/>
          <w:sz w:val="24"/>
          <w:szCs w:val="24"/>
        </w:rPr>
        <w:t>l organismo operador</w:t>
      </w:r>
      <w:r w:rsidRPr="000366BE">
        <w:rPr>
          <w:rFonts w:ascii="Century Gothic" w:hAnsi="Century Gothic"/>
          <w:sz w:val="24"/>
          <w:szCs w:val="24"/>
        </w:rPr>
        <w:t xml:space="preserve">, con ello se presentarán los escenarios de demanda de agua potable de </w:t>
      </w:r>
      <w:r w:rsidRPr="000366BE">
        <w:rPr>
          <w:rFonts w:ascii="Century Gothic" w:hAnsi="Century Gothic"/>
          <w:sz w:val="24"/>
          <w:szCs w:val="24"/>
        </w:rPr>
        <w:lastRenderedPageBreak/>
        <w:t>primer uso considerando el reúso de agua residual tratada y su comparativo con la ausencia del reúso para justificar las inversiones. Se tendrá además la proyección de requerimientos de infraestructura de saneamiento, misma que se tomará en cuenta para el análisis.</w:t>
      </w:r>
    </w:p>
    <w:p w14:paraId="05CBF907" w14:textId="77777777" w:rsidR="000366BE" w:rsidRDefault="00F07396" w:rsidP="00F07396">
      <w:pPr>
        <w:jc w:val="both"/>
        <w:rPr>
          <w:rFonts w:ascii="Century Gothic" w:hAnsi="Century Gothic"/>
          <w:sz w:val="24"/>
          <w:szCs w:val="24"/>
        </w:rPr>
      </w:pPr>
      <w:r w:rsidRPr="000366BE">
        <w:rPr>
          <w:rFonts w:ascii="Century Gothic" w:hAnsi="Century Gothic"/>
          <w:sz w:val="24"/>
          <w:szCs w:val="24"/>
        </w:rPr>
        <w:t xml:space="preserve">En contraparte, la </w:t>
      </w:r>
      <w:r w:rsidRPr="000366BE">
        <w:rPr>
          <w:rFonts w:ascii="Century Gothic" w:hAnsi="Century Gothic"/>
          <w:sz w:val="24"/>
          <w:szCs w:val="24"/>
        </w:rPr>
        <w:t>producción de agua potable se revisa</w:t>
      </w:r>
      <w:r w:rsidRPr="000366BE">
        <w:rPr>
          <w:rFonts w:ascii="Century Gothic" w:hAnsi="Century Gothic"/>
          <w:sz w:val="24"/>
          <w:szCs w:val="24"/>
        </w:rPr>
        <w:t xml:space="preserve"> a través de los </w:t>
      </w:r>
      <w:r w:rsidRPr="000366BE">
        <w:rPr>
          <w:rFonts w:ascii="Century Gothic" w:hAnsi="Century Gothic"/>
          <w:sz w:val="24"/>
          <w:szCs w:val="24"/>
        </w:rPr>
        <w:t xml:space="preserve">registros de extracción </w:t>
      </w:r>
      <w:r w:rsidRPr="000366BE">
        <w:rPr>
          <w:rFonts w:ascii="Century Gothic" w:hAnsi="Century Gothic"/>
          <w:sz w:val="24"/>
          <w:szCs w:val="24"/>
        </w:rPr>
        <w:t>proporcionados</w:t>
      </w:r>
      <w:r w:rsidRPr="000366BE">
        <w:rPr>
          <w:rFonts w:ascii="Century Gothic" w:hAnsi="Century Gothic"/>
          <w:sz w:val="24"/>
          <w:szCs w:val="24"/>
        </w:rPr>
        <w:t>. Se</w:t>
      </w:r>
      <w:r w:rsidRPr="000366BE">
        <w:rPr>
          <w:rFonts w:ascii="Century Gothic" w:hAnsi="Century Gothic"/>
          <w:sz w:val="24"/>
          <w:szCs w:val="24"/>
        </w:rPr>
        <w:t xml:space="preserve"> revisan </w:t>
      </w:r>
      <w:r w:rsidRPr="000366BE">
        <w:rPr>
          <w:rFonts w:ascii="Century Gothic" w:hAnsi="Century Gothic"/>
          <w:sz w:val="24"/>
          <w:szCs w:val="24"/>
        </w:rPr>
        <w:t xml:space="preserve">los errores que pudiesen existir para la medición de los volúmenes producidos y se realiza aforo en los casos donde no se cuente con medidor instalado. </w:t>
      </w:r>
    </w:p>
    <w:p w14:paraId="133F3CCA" w14:textId="3109E1FB" w:rsidR="000366BE" w:rsidRPr="000366BE" w:rsidRDefault="00F07396" w:rsidP="000366BE">
      <w:pPr>
        <w:pStyle w:val="Textoindependiente"/>
        <w:spacing w:before="92" w:line="276" w:lineRule="auto"/>
        <w:ind w:right="222"/>
        <w:rPr>
          <w:rFonts w:ascii="Century Gothic" w:hAnsi="Century Gothic" w:cs="Arial"/>
          <w:sz w:val="24"/>
          <w:szCs w:val="24"/>
        </w:rPr>
      </w:pPr>
      <w:r w:rsidRPr="000366BE">
        <w:rPr>
          <w:rFonts w:ascii="Century Gothic" w:hAnsi="Century Gothic" w:cs="Arial"/>
          <w:sz w:val="24"/>
          <w:szCs w:val="24"/>
        </w:rPr>
        <w:t>UMI FLUX presenta un valor de dotación</w:t>
      </w:r>
      <w:r w:rsidRPr="000366BE">
        <w:rPr>
          <w:rFonts w:ascii="Century Gothic" w:hAnsi="Century Gothic" w:cs="Arial"/>
          <w:sz w:val="24"/>
          <w:szCs w:val="24"/>
        </w:rPr>
        <w:t xml:space="preserve">, </w:t>
      </w:r>
      <w:r w:rsidRPr="000366BE">
        <w:rPr>
          <w:rFonts w:ascii="Century Gothic" w:hAnsi="Century Gothic" w:cs="Arial"/>
          <w:sz w:val="24"/>
          <w:szCs w:val="24"/>
        </w:rPr>
        <w:t>considerado como el vol</w:t>
      </w:r>
      <w:r w:rsidRPr="000366BE">
        <w:rPr>
          <w:rFonts w:ascii="Century Gothic" w:hAnsi="Century Gothic" w:cs="Arial"/>
          <w:sz w:val="24"/>
          <w:szCs w:val="24"/>
        </w:rPr>
        <w:t>umen de agua que</w:t>
      </w:r>
      <w:r w:rsidRPr="000366BE">
        <w:rPr>
          <w:rFonts w:ascii="Century Gothic" w:hAnsi="Century Gothic" w:cs="Arial"/>
          <w:spacing w:val="1"/>
          <w:sz w:val="24"/>
          <w:szCs w:val="24"/>
        </w:rPr>
        <w:t xml:space="preserve"> </w:t>
      </w:r>
      <w:r w:rsidRPr="000366BE">
        <w:rPr>
          <w:rFonts w:ascii="Century Gothic" w:hAnsi="Century Gothic" w:cs="Arial"/>
          <w:sz w:val="24"/>
          <w:szCs w:val="24"/>
        </w:rPr>
        <w:t>considera el consumo de todos los servicios que se hacen por habitante por día,</w:t>
      </w:r>
      <w:r w:rsidRPr="000366BE">
        <w:rPr>
          <w:rFonts w:ascii="Century Gothic" w:hAnsi="Century Gothic" w:cs="Arial"/>
          <w:spacing w:val="1"/>
          <w:sz w:val="24"/>
          <w:szCs w:val="24"/>
        </w:rPr>
        <w:t xml:space="preserve"> </w:t>
      </w:r>
      <w:r w:rsidRPr="000366BE">
        <w:rPr>
          <w:rFonts w:ascii="Century Gothic" w:hAnsi="Century Gothic" w:cs="Arial"/>
          <w:sz w:val="24"/>
          <w:szCs w:val="24"/>
        </w:rPr>
        <w:t>incluyendo pérdidas físicas. La dotación se obtendrá como el cociente del volumen</w:t>
      </w:r>
      <w:r w:rsidRPr="000366BE">
        <w:rPr>
          <w:rFonts w:ascii="Century Gothic" w:hAnsi="Century Gothic" w:cs="Arial"/>
          <w:spacing w:val="1"/>
          <w:sz w:val="24"/>
          <w:szCs w:val="24"/>
        </w:rPr>
        <w:t xml:space="preserve"> </w:t>
      </w:r>
      <w:r w:rsidRPr="000366BE">
        <w:rPr>
          <w:rFonts w:ascii="Century Gothic" w:hAnsi="Century Gothic" w:cs="Arial"/>
          <w:sz w:val="24"/>
          <w:szCs w:val="24"/>
        </w:rPr>
        <w:t>producido</w:t>
      </w:r>
      <w:r w:rsidRPr="000366BE">
        <w:rPr>
          <w:rFonts w:ascii="Century Gothic" w:hAnsi="Century Gothic" w:cs="Arial"/>
          <w:spacing w:val="-1"/>
          <w:sz w:val="24"/>
          <w:szCs w:val="24"/>
        </w:rPr>
        <w:t xml:space="preserve"> </w:t>
      </w:r>
      <w:r w:rsidRPr="000366BE">
        <w:rPr>
          <w:rFonts w:ascii="Century Gothic" w:hAnsi="Century Gothic" w:cs="Arial"/>
          <w:sz w:val="24"/>
          <w:szCs w:val="24"/>
        </w:rPr>
        <w:t>entre</w:t>
      </w:r>
      <w:r w:rsidRPr="000366BE">
        <w:rPr>
          <w:rFonts w:ascii="Century Gothic" w:hAnsi="Century Gothic" w:cs="Arial"/>
          <w:spacing w:val="1"/>
          <w:sz w:val="24"/>
          <w:szCs w:val="24"/>
        </w:rPr>
        <w:t xml:space="preserve"> </w:t>
      </w:r>
      <w:r w:rsidRPr="000366BE">
        <w:rPr>
          <w:rFonts w:ascii="Century Gothic" w:hAnsi="Century Gothic" w:cs="Arial"/>
          <w:sz w:val="24"/>
          <w:szCs w:val="24"/>
        </w:rPr>
        <w:t>la</w:t>
      </w:r>
      <w:r w:rsidRPr="000366BE">
        <w:rPr>
          <w:rFonts w:ascii="Century Gothic" w:hAnsi="Century Gothic" w:cs="Arial"/>
          <w:spacing w:val="-2"/>
          <w:sz w:val="24"/>
          <w:szCs w:val="24"/>
        </w:rPr>
        <w:t xml:space="preserve"> </w:t>
      </w:r>
      <w:r w:rsidRPr="000366BE">
        <w:rPr>
          <w:rFonts w:ascii="Century Gothic" w:hAnsi="Century Gothic" w:cs="Arial"/>
          <w:sz w:val="24"/>
          <w:szCs w:val="24"/>
        </w:rPr>
        <w:t>población</w:t>
      </w:r>
      <w:r w:rsidRPr="000366BE">
        <w:rPr>
          <w:rFonts w:ascii="Century Gothic" w:hAnsi="Century Gothic" w:cs="Arial"/>
          <w:spacing w:val="1"/>
          <w:sz w:val="24"/>
          <w:szCs w:val="24"/>
        </w:rPr>
        <w:t xml:space="preserve"> </w:t>
      </w:r>
      <w:r w:rsidRPr="000366BE">
        <w:rPr>
          <w:rFonts w:ascii="Century Gothic" w:hAnsi="Century Gothic" w:cs="Arial"/>
          <w:sz w:val="24"/>
          <w:szCs w:val="24"/>
        </w:rPr>
        <w:t>servida.</w:t>
      </w:r>
    </w:p>
    <w:p w14:paraId="38CE31F6" w14:textId="77777777" w:rsidR="000366BE" w:rsidRDefault="000366BE" w:rsidP="00F07396">
      <w:pPr>
        <w:jc w:val="both"/>
      </w:pPr>
    </w:p>
    <w:p w14:paraId="3DDBD3E5" w14:textId="77777777" w:rsidR="000366BE" w:rsidRDefault="000366BE" w:rsidP="00F07396">
      <w:pPr>
        <w:jc w:val="both"/>
      </w:pPr>
    </w:p>
    <w:sectPr w:rsidR="000366B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03573"/>
    <w:multiLevelType w:val="hybridMultilevel"/>
    <w:tmpl w:val="6B24CF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79067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396"/>
    <w:rsid w:val="000366BE"/>
    <w:rsid w:val="0017288E"/>
    <w:rsid w:val="00460C06"/>
    <w:rsid w:val="004A47C1"/>
    <w:rsid w:val="00545B14"/>
    <w:rsid w:val="005F4D49"/>
    <w:rsid w:val="006F589B"/>
    <w:rsid w:val="007D798F"/>
    <w:rsid w:val="00832224"/>
    <w:rsid w:val="009E63E7"/>
    <w:rsid w:val="00BB5272"/>
    <w:rsid w:val="00C03CE1"/>
    <w:rsid w:val="00CF170A"/>
    <w:rsid w:val="00E07AF3"/>
    <w:rsid w:val="00F07396"/>
    <w:rsid w:val="00FE60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9D33D"/>
  <w15:chartTrackingRefBased/>
  <w15:docId w15:val="{24B4EBEF-0A0C-4E51-AEB9-59BFFA73E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1"/>
    <w:qFormat/>
    <w:rsid w:val="00F073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073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0739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0739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0739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0739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0739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0739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0739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F0739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0739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0739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0739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0739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0739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0739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0739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07396"/>
    <w:rPr>
      <w:rFonts w:eastAsiaTheme="majorEastAsia" w:cstheme="majorBidi"/>
      <w:color w:val="272727" w:themeColor="text1" w:themeTint="D8"/>
    </w:rPr>
  </w:style>
  <w:style w:type="paragraph" w:styleId="Ttulo">
    <w:name w:val="Title"/>
    <w:basedOn w:val="Normal"/>
    <w:next w:val="Normal"/>
    <w:link w:val="TtuloCar"/>
    <w:uiPriority w:val="10"/>
    <w:qFormat/>
    <w:rsid w:val="00F073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0739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0739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0739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07396"/>
    <w:pPr>
      <w:spacing w:before="160"/>
      <w:jc w:val="center"/>
    </w:pPr>
    <w:rPr>
      <w:i/>
      <w:iCs/>
      <w:color w:val="404040" w:themeColor="text1" w:themeTint="BF"/>
    </w:rPr>
  </w:style>
  <w:style w:type="character" w:customStyle="1" w:styleId="CitaCar">
    <w:name w:val="Cita Car"/>
    <w:basedOn w:val="Fuentedeprrafopredeter"/>
    <w:link w:val="Cita"/>
    <w:uiPriority w:val="29"/>
    <w:rsid w:val="00F07396"/>
    <w:rPr>
      <w:i/>
      <w:iCs/>
      <w:color w:val="404040" w:themeColor="text1" w:themeTint="BF"/>
    </w:rPr>
  </w:style>
  <w:style w:type="paragraph" w:styleId="Prrafodelista">
    <w:name w:val="List Paragraph"/>
    <w:basedOn w:val="Normal"/>
    <w:uiPriority w:val="1"/>
    <w:qFormat/>
    <w:rsid w:val="00F07396"/>
    <w:pPr>
      <w:ind w:left="720"/>
      <w:contextualSpacing/>
    </w:pPr>
  </w:style>
  <w:style w:type="character" w:styleId="nfasisintenso">
    <w:name w:val="Intense Emphasis"/>
    <w:basedOn w:val="Fuentedeprrafopredeter"/>
    <w:uiPriority w:val="21"/>
    <w:qFormat/>
    <w:rsid w:val="00F07396"/>
    <w:rPr>
      <w:i/>
      <w:iCs/>
      <w:color w:val="0F4761" w:themeColor="accent1" w:themeShade="BF"/>
    </w:rPr>
  </w:style>
  <w:style w:type="paragraph" w:styleId="Citadestacada">
    <w:name w:val="Intense Quote"/>
    <w:basedOn w:val="Normal"/>
    <w:next w:val="Normal"/>
    <w:link w:val="CitadestacadaCar"/>
    <w:uiPriority w:val="30"/>
    <w:qFormat/>
    <w:rsid w:val="00F073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07396"/>
    <w:rPr>
      <w:i/>
      <w:iCs/>
      <w:color w:val="0F4761" w:themeColor="accent1" w:themeShade="BF"/>
    </w:rPr>
  </w:style>
  <w:style w:type="character" w:styleId="Referenciaintensa">
    <w:name w:val="Intense Reference"/>
    <w:basedOn w:val="Fuentedeprrafopredeter"/>
    <w:uiPriority w:val="32"/>
    <w:qFormat/>
    <w:rsid w:val="00F07396"/>
    <w:rPr>
      <w:b/>
      <w:bCs/>
      <w:smallCaps/>
      <w:color w:val="0F4761" w:themeColor="accent1" w:themeShade="BF"/>
      <w:spacing w:val="5"/>
    </w:rPr>
  </w:style>
  <w:style w:type="paragraph" w:styleId="Textoindependiente">
    <w:name w:val="Body Text"/>
    <w:basedOn w:val="Normal"/>
    <w:link w:val="TextoindependienteCar"/>
    <w:uiPriority w:val="1"/>
    <w:qFormat/>
    <w:rsid w:val="00F07396"/>
    <w:pPr>
      <w:spacing w:after="0" w:line="240" w:lineRule="auto"/>
      <w:jc w:val="both"/>
    </w:pPr>
    <w:rPr>
      <w:rFonts w:ascii="Times New Roman" w:eastAsia="Times New Roman" w:hAnsi="Times New Roman" w:cs="Times New Roman"/>
      <w:kern w:val="0"/>
      <w:szCs w:val="20"/>
      <w:lang w:eastAsia="es-ES"/>
    </w:rPr>
  </w:style>
  <w:style w:type="character" w:customStyle="1" w:styleId="TextoindependienteCar">
    <w:name w:val="Texto independiente Car"/>
    <w:basedOn w:val="Fuentedeprrafopredeter"/>
    <w:link w:val="Textoindependiente"/>
    <w:uiPriority w:val="1"/>
    <w:rsid w:val="00F07396"/>
    <w:rPr>
      <w:rFonts w:ascii="Times New Roman" w:eastAsia="Times New Roman" w:hAnsi="Times New Roman" w:cs="Times New Roman"/>
      <w:kern w:val="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479</Words>
  <Characters>2637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MARIANO</dc:creator>
  <cp:keywords/>
  <dc:description/>
  <cp:lastModifiedBy>Carlos Mariano</cp:lastModifiedBy>
  <cp:revision>1</cp:revision>
  <dcterms:created xsi:type="dcterms:W3CDTF">2025-12-15T22:20:00Z</dcterms:created>
  <dcterms:modified xsi:type="dcterms:W3CDTF">2025-12-15T22:39:00Z</dcterms:modified>
</cp:coreProperties>
</file>